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125" w:rsidRDefault="00620125" w:rsidP="00620125">
      <w:pPr>
        <w:ind w:firstLine="0"/>
        <w:jc w:val="center"/>
        <w:rPr>
          <w:b/>
          <w:bCs/>
          <w:sz w:val="48"/>
          <w:szCs w:val="48"/>
        </w:rPr>
      </w:pPr>
      <w:bookmarkStart w:id="0" w:name="_GoBack"/>
      <w:bookmarkEnd w:id="0"/>
      <w:r>
        <w:rPr>
          <w:rFonts w:hint="cs"/>
          <w:b/>
          <w:bCs/>
          <w:sz w:val="48"/>
          <w:szCs w:val="48"/>
          <w:rtl/>
        </w:rPr>
        <w:t>"מבעד לצללים"</w:t>
      </w:r>
    </w:p>
    <w:p w:rsidR="00620125" w:rsidRDefault="00620125" w:rsidP="00620125">
      <w:pPr>
        <w:ind w:firstLine="0"/>
        <w:jc w:val="center"/>
        <w:rPr>
          <w:b/>
          <w:bCs/>
          <w:sz w:val="32"/>
          <w:szCs w:val="32"/>
          <w:rtl/>
        </w:rPr>
      </w:pPr>
      <w:r>
        <w:rPr>
          <w:rFonts w:hint="cs"/>
          <w:b/>
          <w:bCs/>
          <w:sz w:val="32"/>
          <w:szCs w:val="32"/>
          <w:rtl/>
        </w:rPr>
        <w:t>סיפור חייהן המקצועיים והתעסוקתיים של נשים עיוורות ולקויות ראייה בעולם העבודה בישראל</w:t>
      </w:r>
    </w:p>
    <w:p w:rsidR="00620125" w:rsidRDefault="00620125" w:rsidP="00620125">
      <w:pPr>
        <w:ind w:firstLine="0"/>
        <w:jc w:val="center"/>
        <w:rPr>
          <w:b/>
          <w:bCs/>
          <w:sz w:val="28"/>
          <w:szCs w:val="28"/>
        </w:rPr>
      </w:pPr>
      <w:r>
        <w:rPr>
          <w:rFonts w:hint="cs"/>
          <w:b/>
          <w:bCs/>
          <w:sz w:val="28"/>
          <w:szCs w:val="28"/>
        </w:rPr>
        <w:t>"Through The Shadows": Professional and Vocational Life Stories of Blind and Visually-Impaired Women in the Labor World in Israel</w:t>
      </w:r>
    </w:p>
    <w:p w:rsidR="00620125" w:rsidRDefault="00620125" w:rsidP="00620125">
      <w:pPr>
        <w:tabs>
          <w:tab w:val="left" w:pos="6450"/>
        </w:tabs>
        <w:jc w:val="center"/>
        <w:rPr>
          <w:rtl/>
        </w:rPr>
      </w:pPr>
    </w:p>
    <w:p w:rsidR="00620125" w:rsidRDefault="00620125" w:rsidP="00620125">
      <w:pPr>
        <w:tabs>
          <w:tab w:val="left" w:pos="6450"/>
        </w:tabs>
      </w:pPr>
    </w:p>
    <w:p w:rsidR="00620125" w:rsidRDefault="00620125" w:rsidP="00620125">
      <w:pPr>
        <w:tabs>
          <w:tab w:val="left" w:pos="6450"/>
        </w:tabs>
        <w:rPr>
          <w:rtl/>
        </w:rPr>
      </w:pPr>
    </w:p>
    <w:p w:rsidR="00620125" w:rsidRDefault="00620125" w:rsidP="00620125">
      <w:pPr>
        <w:tabs>
          <w:tab w:val="left" w:pos="6450"/>
        </w:tabs>
        <w:rPr>
          <w:rtl/>
        </w:rPr>
      </w:pPr>
    </w:p>
    <w:p w:rsidR="00620125" w:rsidRDefault="00620125" w:rsidP="00620125">
      <w:pPr>
        <w:tabs>
          <w:tab w:val="left" w:pos="6450"/>
        </w:tabs>
        <w:rPr>
          <w:rtl/>
        </w:rPr>
      </w:pPr>
    </w:p>
    <w:p w:rsidR="00620125" w:rsidRDefault="00620125" w:rsidP="00620125">
      <w:pPr>
        <w:tabs>
          <w:tab w:val="left" w:pos="6450"/>
        </w:tabs>
        <w:jc w:val="center"/>
        <w:rPr>
          <w:sz w:val="32"/>
          <w:szCs w:val="32"/>
          <w:rtl/>
        </w:rPr>
      </w:pPr>
      <w:r>
        <w:rPr>
          <w:rFonts w:hint="cs"/>
          <w:sz w:val="32"/>
          <w:szCs w:val="32"/>
          <w:rtl/>
        </w:rPr>
        <w:t>חיבור לשם קבלת התואר "דוקטור לפילוסופיה"</w:t>
      </w:r>
    </w:p>
    <w:p w:rsidR="00620125" w:rsidRDefault="00620125" w:rsidP="00620125">
      <w:pPr>
        <w:tabs>
          <w:tab w:val="left" w:pos="6450"/>
        </w:tabs>
        <w:rPr>
          <w:rtl/>
        </w:rPr>
      </w:pPr>
    </w:p>
    <w:p w:rsidR="00620125" w:rsidRDefault="00620125" w:rsidP="00620125">
      <w:pPr>
        <w:tabs>
          <w:tab w:val="left" w:pos="6450"/>
        </w:tabs>
        <w:ind w:firstLine="0"/>
        <w:jc w:val="center"/>
        <w:rPr>
          <w:sz w:val="28"/>
          <w:szCs w:val="28"/>
        </w:rPr>
      </w:pPr>
    </w:p>
    <w:p w:rsidR="00620125" w:rsidRDefault="00620125" w:rsidP="00620125">
      <w:pPr>
        <w:tabs>
          <w:tab w:val="left" w:pos="6450"/>
        </w:tabs>
        <w:ind w:firstLine="0"/>
        <w:jc w:val="center"/>
        <w:rPr>
          <w:sz w:val="28"/>
          <w:szCs w:val="28"/>
          <w:rtl/>
        </w:rPr>
      </w:pPr>
    </w:p>
    <w:p w:rsidR="00620125" w:rsidRDefault="00620125" w:rsidP="00620125">
      <w:pPr>
        <w:tabs>
          <w:tab w:val="left" w:pos="6450"/>
        </w:tabs>
        <w:ind w:firstLine="0"/>
        <w:jc w:val="center"/>
        <w:rPr>
          <w:sz w:val="28"/>
          <w:szCs w:val="28"/>
          <w:rtl/>
        </w:rPr>
      </w:pPr>
      <w:r>
        <w:rPr>
          <w:rFonts w:hint="cs"/>
          <w:sz w:val="28"/>
          <w:szCs w:val="28"/>
          <w:rtl/>
        </w:rPr>
        <w:t>מאת:</w:t>
      </w:r>
    </w:p>
    <w:p w:rsidR="00620125" w:rsidRDefault="00620125" w:rsidP="00620125">
      <w:pPr>
        <w:tabs>
          <w:tab w:val="left" w:pos="6450"/>
        </w:tabs>
        <w:ind w:firstLine="0"/>
        <w:jc w:val="center"/>
        <w:rPr>
          <w:sz w:val="28"/>
          <w:szCs w:val="28"/>
          <w:rtl/>
        </w:rPr>
      </w:pPr>
      <w:r>
        <w:rPr>
          <w:rFonts w:hint="cs"/>
          <w:sz w:val="28"/>
          <w:szCs w:val="28"/>
          <w:rtl/>
        </w:rPr>
        <w:t xml:space="preserve"> אלה סלמן</w:t>
      </w:r>
    </w:p>
    <w:p w:rsidR="00620125" w:rsidRDefault="00620125" w:rsidP="00620125">
      <w:pPr>
        <w:tabs>
          <w:tab w:val="left" w:pos="6450"/>
        </w:tabs>
        <w:ind w:firstLine="0"/>
        <w:jc w:val="center"/>
        <w:rPr>
          <w:rtl/>
        </w:rPr>
      </w:pPr>
      <w:r>
        <w:rPr>
          <w:rFonts w:hint="cs"/>
          <w:sz w:val="28"/>
          <w:szCs w:val="28"/>
          <w:rtl/>
        </w:rPr>
        <w:t>ת.ז. 022718050</w:t>
      </w:r>
    </w:p>
    <w:p w:rsidR="00620125" w:rsidRDefault="00620125" w:rsidP="00620125">
      <w:pPr>
        <w:tabs>
          <w:tab w:val="left" w:pos="6450"/>
        </w:tabs>
        <w:ind w:firstLine="0"/>
        <w:jc w:val="center"/>
        <w:rPr>
          <w:rtl/>
        </w:rPr>
      </w:pPr>
    </w:p>
    <w:p w:rsidR="00620125" w:rsidRDefault="00620125" w:rsidP="00620125">
      <w:pPr>
        <w:tabs>
          <w:tab w:val="left" w:pos="6450"/>
        </w:tabs>
        <w:ind w:firstLine="0"/>
        <w:jc w:val="center"/>
        <w:rPr>
          <w:rtl/>
        </w:rPr>
      </w:pPr>
    </w:p>
    <w:p w:rsidR="00620125" w:rsidRDefault="00620125" w:rsidP="00620125">
      <w:pPr>
        <w:tabs>
          <w:tab w:val="left" w:pos="6450"/>
        </w:tabs>
        <w:ind w:firstLine="0"/>
        <w:jc w:val="center"/>
        <w:rPr>
          <w:sz w:val="28"/>
          <w:szCs w:val="28"/>
          <w:rtl/>
        </w:rPr>
      </w:pPr>
      <w:r>
        <w:rPr>
          <w:rFonts w:hint="cs"/>
          <w:sz w:val="28"/>
          <w:szCs w:val="28"/>
          <w:rtl/>
        </w:rPr>
        <w:t>הפקולטה למדעי הרוח ע"ש לסלי וסאלי אנטין</w:t>
      </w:r>
    </w:p>
    <w:p w:rsidR="00620125" w:rsidRDefault="00620125" w:rsidP="00620125">
      <w:pPr>
        <w:tabs>
          <w:tab w:val="left" w:pos="6450"/>
        </w:tabs>
        <w:ind w:firstLine="0"/>
        <w:jc w:val="center"/>
        <w:rPr>
          <w:sz w:val="28"/>
          <w:szCs w:val="28"/>
          <w:rtl/>
        </w:rPr>
      </w:pPr>
      <w:r>
        <w:rPr>
          <w:rFonts w:hint="cs"/>
          <w:sz w:val="28"/>
          <w:szCs w:val="28"/>
          <w:rtl/>
        </w:rPr>
        <w:t>בית הספר למדעי-התרבות ע"ש שירלי ולזלי פורטר</w:t>
      </w:r>
    </w:p>
    <w:p w:rsidR="00620125" w:rsidRDefault="00620125" w:rsidP="00620125">
      <w:pPr>
        <w:tabs>
          <w:tab w:val="left" w:pos="6450"/>
        </w:tabs>
        <w:ind w:firstLine="0"/>
        <w:jc w:val="center"/>
        <w:rPr>
          <w:sz w:val="28"/>
          <w:szCs w:val="28"/>
          <w:rtl/>
        </w:rPr>
      </w:pPr>
    </w:p>
    <w:p w:rsidR="00620125" w:rsidRDefault="00620125" w:rsidP="00620125">
      <w:pPr>
        <w:tabs>
          <w:tab w:val="left" w:pos="6450"/>
        </w:tabs>
        <w:ind w:firstLine="0"/>
        <w:jc w:val="center"/>
        <w:rPr>
          <w:sz w:val="28"/>
          <w:szCs w:val="28"/>
          <w:rtl/>
        </w:rPr>
      </w:pPr>
      <w:r>
        <w:rPr>
          <w:rFonts w:hint="cs"/>
          <w:sz w:val="28"/>
          <w:szCs w:val="28"/>
          <w:rtl/>
        </w:rPr>
        <w:t>הוגש לסנאט של אוניברסיטת תל אביב</w:t>
      </w:r>
    </w:p>
    <w:p w:rsidR="00620125" w:rsidRDefault="00620125" w:rsidP="00620125">
      <w:pPr>
        <w:tabs>
          <w:tab w:val="left" w:pos="6450"/>
        </w:tabs>
        <w:ind w:firstLine="0"/>
        <w:jc w:val="center"/>
        <w:rPr>
          <w:sz w:val="28"/>
          <w:szCs w:val="28"/>
          <w:rtl/>
        </w:rPr>
      </w:pPr>
    </w:p>
    <w:p w:rsidR="00620125" w:rsidRDefault="00620125" w:rsidP="00620125">
      <w:pPr>
        <w:tabs>
          <w:tab w:val="left" w:pos="6450"/>
        </w:tabs>
        <w:ind w:firstLine="0"/>
        <w:jc w:val="center"/>
        <w:rPr>
          <w:rtl/>
        </w:rPr>
      </w:pPr>
    </w:p>
    <w:p w:rsidR="00620125" w:rsidRDefault="00620125" w:rsidP="00620125">
      <w:pPr>
        <w:tabs>
          <w:tab w:val="left" w:pos="6450"/>
        </w:tabs>
        <w:ind w:firstLine="0"/>
        <w:rPr>
          <w:rtl/>
        </w:rPr>
      </w:pPr>
    </w:p>
    <w:p w:rsidR="00620125" w:rsidRDefault="00620125" w:rsidP="00620125">
      <w:pPr>
        <w:tabs>
          <w:tab w:val="left" w:pos="6450"/>
        </w:tabs>
        <w:ind w:firstLine="0"/>
        <w:jc w:val="center"/>
        <w:rPr>
          <w:rtl/>
        </w:rPr>
      </w:pPr>
    </w:p>
    <w:p w:rsidR="00620125" w:rsidRDefault="00620125" w:rsidP="00676C48">
      <w:pPr>
        <w:tabs>
          <w:tab w:val="left" w:pos="6450"/>
        </w:tabs>
        <w:ind w:firstLine="0"/>
        <w:jc w:val="center"/>
        <w:rPr>
          <w:sz w:val="28"/>
          <w:szCs w:val="28"/>
          <w:rtl/>
        </w:rPr>
      </w:pPr>
      <w:r>
        <w:rPr>
          <w:rFonts w:hint="cs"/>
          <w:sz w:val="28"/>
          <w:szCs w:val="28"/>
          <w:rtl/>
        </w:rPr>
        <w:t>תל אביב</w:t>
      </w:r>
      <w:r w:rsidR="00676C48">
        <w:rPr>
          <w:rFonts w:hint="cs"/>
          <w:sz w:val="28"/>
          <w:szCs w:val="28"/>
          <w:rtl/>
        </w:rPr>
        <w:t xml:space="preserve"> שבט</w:t>
      </w:r>
      <w:r>
        <w:rPr>
          <w:rFonts w:hint="cs"/>
          <w:sz w:val="28"/>
          <w:szCs w:val="28"/>
          <w:rtl/>
        </w:rPr>
        <w:t>, התשפ"א</w:t>
      </w:r>
    </w:p>
    <w:p w:rsidR="00500AFE" w:rsidRDefault="002C76A1" w:rsidP="0067491F">
      <w:pPr>
        <w:rPr>
          <w:rtl/>
        </w:rPr>
      </w:pPr>
    </w:p>
    <w:p w:rsidR="00DB3FAE" w:rsidRDefault="00DB3FAE" w:rsidP="0067491F">
      <w:pPr>
        <w:rPr>
          <w:rtl/>
        </w:rPr>
      </w:pPr>
    </w:p>
    <w:p w:rsidR="00DB3FAE" w:rsidRDefault="00DB3FAE" w:rsidP="0067491F">
      <w:pPr>
        <w:rPr>
          <w:rtl/>
        </w:rPr>
      </w:pPr>
    </w:p>
    <w:p w:rsidR="00DB3FAE" w:rsidRDefault="00DB3FAE" w:rsidP="0067491F">
      <w:pPr>
        <w:rPr>
          <w:rtl/>
        </w:rPr>
      </w:pPr>
    </w:p>
    <w:p w:rsidR="00DB3FAE" w:rsidRDefault="00DB3FAE" w:rsidP="0067491F">
      <w:pPr>
        <w:rPr>
          <w:rtl/>
        </w:rPr>
      </w:pPr>
    </w:p>
    <w:p w:rsidR="00A83F87" w:rsidRDefault="00A83F87" w:rsidP="0067491F">
      <w:pPr>
        <w:rPr>
          <w:rtl/>
        </w:rPr>
      </w:pPr>
    </w:p>
    <w:p w:rsidR="00DB3FAE" w:rsidRDefault="00DB3FAE" w:rsidP="0067491F">
      <w:pPr>
        <w:rPr>
          <w:rtl/>
        </w:rPr>
      </w:pPr>
    </w:p>
    <w:p w:rsidR="00DB3FAE" w:rsidRPr="00A83F87" w:rsidRDefault="00DB3FAE" w:rsidP="00DB3FAE">
      <w:pPr>
        <w:tabs>
          <w:tab w:val="left" w:pos="6450"/>
        </w:tabs>
        <w:spacing w:after="240" w:line="240" w:lineRule="auto"/>
        <w:ind w:firstLine="0"/>
        <w:jc w:val="center"/>
        <w:rPr>
          <w:rFonts w:eastAsia="Times New Roman"/>
          <w:b/>
          <w:bCs/>
          <w:sz w:val="28"/>
          <w:szCs w:val="28"/>
          <w:rtl/>
        </w:rPr>
      </w:pPr>
      <w:r w:rsidRPr="00A83F87">
        <w:rPr>
          <w:rFonts w:eastAsia="Times New Roman" w:hint="cs"/>
          <w:b/>
          <w:bCs/>
          <w:sz w:val="28"/>
          <w:szCs w:val="28"/>
          <w:rtl/>
        </w:rPr>
        <w:lastRenderedPageBreak/>
        <w:t>תקציר</w:t>
      </w:r>
    </w:p>
    <w:p w:rsidR="00DB3FAE" w:rsidRPr="00D726D4" w:rsidRDefault="00DB3FAE" w:rsidP="00DB3FAE">
      <w:pPr>
        <w:ind w:firstLine="0"/>
        <w:rPr>
          <w:rtl/>
        </w:rPr>
      </w:pPr>
      <w:r w:rsidRPr="00D726D4">
        <w:rPr>
          <w:rFonts w:hint="cs"/>
          <w:rtl/>
        </w:rPr>
        <w:t xml:space="preserve">במחצית השנייה של המאה העשרים חלה עלייה דרמטית בשיעור השתתפותן של נשים בשוק העבודה, ובפרט נשים עם מוגבלות. למרות זאת, </w:t>
      </w:r>
      <w:r w:rsidRPr="00D726D4">
        <w:rPr>
          <w:rtl/>
        </w:rPr>
        <w:t>הערכות אחרונות מדווחות על כך שאחוזי האבטלה ואי-ההשתתפות של</w:t>
      </w:r>
      <w:r w:rsidRPr="00D726D4">
        <w:rPr>
          <w:rFonts w:hint="cs"/>
          <w:rtl/>
        </w:rPr>
        <w:t xml:space="preserve"> אנשים ונשים עם מוגבלות</w:t>
      </w:r>
      <w:r w:rsidRPr="00D726D4">
        <w:rPr>
          <w:rtl/>
        </w:rPr>
        <w:t xml:space="preserve"> בשוק העבודה גבוהים בהרבה</w:t>
      </w:r>
      <w:r w:rsidRPr="00D726D4">
        <w:rPr>
          <w:rFonts w:hint="cs"/>
          <w:rtl/>
        </w:rPr>
        <w:t xml:space="preserve"> מאלה של כלל האוכלוסייה</w:t>
      </w:r>
      <w:r w:rsidRPr="00D726D4">
        <w:rPr>
          <w:rtl/>
        </w:rPr>
        <w:t xml:space="preserve">. </w:t>
      </w:r>
      <w:r w:rsidRPr="00D726D4">
        <w:rPr>
          <w:rFonts w:hint="cs"/>
          <w:rtl/>
        </w:rPr>
        <w:t>אף על פי שאנשים עם מוגבלות מהווים</w:t>
      </w:r>
      <w:r w:rsidRPr="00D726D4">
        <w:rPr>
          <w:rtl/>
        </w:rPr>
        <w:t xml:space="preserve"> כ-1</w:t>
      </w:r>
      <w:r w:rsidRPr="00D726D4">
        <w:rPr>
          <w:rFonts w:hint="cs"/>
          <w:rtl/>
        </w:rPr>
        <w:t>5</w:t>
      </w:r>
      <w:r w:rsidRPr="00D726D4">
        <w:rPr>
          <w:rtl/>
        </w:rPr>
        <w:t>% מהאוכלוסי</w:t>
      </w:r>
      <w:r w:rsidRPr="00D726D4">
        <w:rPr>
          <w:rFonts w:hint="cs"/>
          <w:rtl/>
        </w:rPr>
        <w:t>י</w:t>
      </w:r>
      <w:r w:rsidRPr="00D726D4">
        <w:rPr>
          <w:rtl/>
        </w:rPr>
        <w:t xml:space="preserve">ה </w:t>
      </w:r>
      <w:r w:rsidRPr="00D726D4">
        <w:rPr>
          <w:rFonts w:hint="cs"/>
          <w:rtl/>
        </w:rPr>
        <w:t xml:space="preserve">בעולם ו-17% מאוכלוסיית מדינת ישראל, </w:t>
      </w:r>
      <w:r w:rsidRPr="00D726D4">
        <w:rPr>
          <w:rtl/>
        </w:rPr>
        <w:t>אחוז האבטלה של בעלי מוגבלויות פיזיות עומד על כ-46% ואחוזי האבטלה של בעלי מוגבלויות נפשיות ושכליות מגיעים עד ל-75%</w:t>
      </w:r>
      <w:r w:rsidRPr="00D726D4">
        <w:rPr>
          <w:rtl/>
        </w:rPr>
        <w:noBreakHyphen/>
        <w:t>80% (</w:t>
      </w:r>
      <w:r w:rsidRPr="00D726D4">
        <w:rPr>
          <w:rFonts w:eastAsia="Times New Roman"/>
          <w:color w:val="000000"/>
        </w:rPr>
        <w:t>World Health Organization</w:t>
      </w:r>
      <w:r w:rsidRPr="00D726D4">
        <w:t>, 2015</w:t>
      </w:r>
      <w:r w:rsidRPr="00D726D4">
        <w:rPr>
          <w:rFonts w:hint="cs"/>
          <w:rtl/>
        </w:rPr>
        <w:t>; הלשכה המרכזית לסטטיסטיקה,</w:t>
      </w:r>
      <w:r w:rsidRPr="00D726D4">
        <w:rPr>
          <w:rtl/>
        </w:rPr>
        <w:t xml:space="preserve"> 201</w:t>
      </w:r>
      <w:r w:rsidRPr="00D726D4">
        <w:rPr>
          <w:rFonts w:hint="cs"/>
          <w:rtl/>
        </w:rPr>
        <w:t>5; אלפסי-הנלי, 2015</w:t>
      </w:r>
      <w:r w:rsidRPr="00D726D4">
        <w:rPr>
          <w:rtl/>
        </w:rPr>
        <w:t>).</w:t>
      </w:r>
      <w:r w:rsidRPr="00D726D4">
        <w:rPr>
          <w:rFonts w:hint="cs"/>
          <w:rtl/>
        </w:rPr>
        <w:t xml:space="preserve"> חוקרים וקובעי מדיניות במדינות רווחה שונות לא נותרו אדישים מול תופעה זו ופעלו ליצירת תוכניות רווחה </w:t>
      </w:r>
      <w:r w:rsidRPr="00D726D4">
        <w:rPr>
          <w:rFonts w:hint="eastAsia"/>
          <w:rtl/>
        </w:rPr>
        <w:t>לשילוב</w:t>
      </w:r>
      <w:r w:rsidRPr="00D726D4">
        <w:rPr>
          <w:rFonts w:hint="cs"/>
          <w:rtl/>
        </w:rPr>
        <w:t xml:space="preserve"> אנשים עם מוגבלות בעולם העבודה. התוכניות התבססו על התפיסה כי השילוב ה</w:t>
      </w:r>
      <w:r w:rsidRPr="00D726D4">
        <w:rPr>
          <w:rtl/>
        </w:rPr>
        <w:t>תעסוקתי נועד לעזור לאדם עם מ</w:t>
      </w:r>
      <w:r w:rsidRPr="00D726D4">
        <w:rPr>
          <w:rFonts w:hint="cs"/>
          <w:rtl/>
        </w:rPr>
        <w:t>ו</w:t>
      </w:r>
      <w:r w:rsidRPr="00D726D4">
        <w:rPr>
          <w:rtl/>
        </w:rPr>
        <w:t>גבל</w:t>
      </w:r>
      <w:r w:rsidRPr="00D726D4">
        <w:rPr>
          <w:rFonts w:hint="cs"/>
          <w:rtl/>
        </w:rPr>
        <w:t>ות</w:t>
      </w:r>
      <w:r w:rsidRPr="00D726D4">
        <w:rPr>
          <w:rtl/>
        </w:rPr>
        <w:t xml:space="preserve"> לרכוש הרגלי עבודה, מיומנויות חיים ומיומנויות חברתיות הנחוצות להשתלבותו בעולם העבודה ובחברה</w:t>
      </w:r>
      <w:r w:rsidRPr="00D726D4">
        <w:rPr>
          <w:rFonts w:hint="cs"/>
          <w:rtl/>
        </w:rPr>
        <w:t xml:space="preserve"> בכלל </w:t>
      </w:r>
      <w:r w:rsidRPr="00D726D4">
        <w:rPr>
          <w:rtl/>
        </w:rPr>
        <w:t>(</w:t>
      </w:r>
      <w:r w:rsidRPr="00D726D4">
        <w:t>Barnes &amp; Mercer, 2010; Rimmerman, 2013</w:t>
      </w:r>
      <w:r w:rsidRPr="00D726D4">
        <w:rPr>
          <w:rtl/>
        </w:rPr>
        <w:t>)</w:t>
      </w:r>
      <w:r w:rsidRPr="00D726D4">
        <w:rPr>
          <w:rFonts w:ascii="Times-Roman" w:hAnsi="Times-Roman" w:cs="Times-Roman"/>
          <w:rtl/>
        </w:rPr>
        <w:t>.</w:t>
      </w:r>
    </w:p>
    <w:p w:rsidR="00DB3FAE" w:rsidRPr="00D726D4" w:rsidRDefault="00DB3FAE" w:rsidP="00DB3FAE">
      <w:pPr>
        <w:rPr>
          <w:rtl/>
        </w:rPr>
      </w:pPr>
      <w:r w:rsidRPr="00D726D4">
        <w:rPr>
          <w:rFonts w:hint="cs"/>
          <w:rtl/>
        </w:rPr>
        <w:t>בהתאם לכך, במשך שנים רבות בעיית התעסוקה של אנשים עם מוגבלות נתפסה בעיקר כבעיה של שילוב תעסוקתי ומציאת מקום עבודה, ולא אפשרה שיח מעצים של התפתחות, שינוי ולמידה מעמיקה של האדם עם המוגבלות את עצמו אל מול עולם העבודה (</w:t>
      </w:r>
      <w:r w:rsidRPr="00D726D4">
        <w:t>Davis, Delman &amp; Duperoy, 2013</w:t>
      </w:r>
      <w:r w:rsidRPr="00D726D4">
        <w:rPr>
          <w:rFonts w:hint="cs"/>
          <w:rtl/>
        </w:rPr>
        <w:t>). שיח זה לא התאפשר בין השאר משום שלמרות ההגדרות האובייקטיביות לכאורה למונח "מוגבלות", בהן</w:t>
      </w:r>
      <w:r w:rsidRPr="00D726D4">
        <w:rPr>
          <w:rtl/>
        </w:rPr>
        <w:t xml:space="preserve"> </w:t>
      </w:r>
      <w:r w:rsidRPr="00D726D4">
        <w:rPr>
          <w:rFonts w:hint="cs"/>
          <w:rtl/>
        </w:rPr>
        <w:t>כאלה</w:t>
      </w:r>
      <w:r w:rsidRPr="00D726D4">
        <w:rPr>
          <w:rtl/>
        </w:rPr>
        <w:t xml:space="preserve"> המשמשות לקביעת זכאות לתוכניות תמיכה שונות</w:t>
      </w:r>
      <w:r w:rsidRPr="00D726D4">
        <w:rPr>
          <w:rFonts w:hint="cs"/>
          <w:rtl/>
        </w:rPr>
        <w:t xml:space="preserve"> (רופמן וערן, 2009)</w:t>
      </w:r>
      <w:r w:rsidRPr="00D726D4">
        <w:rPr>
          <w:rtl/>
        </w:rPr>
        <w:t xml:space="preserve">, מחקרים מראים שהגדרות אלה אינן מספקות </w:t>
      </w:r>
      <w:r w:rsidRPr="00D726D4">
        <w:rPr>
          <w:rFonts w:hint="cs"/>
          <w:rtl/>
        </w:rPr>
        <w:t>ל</w:t>
      </w:r>
      <w:r w:rsidRPr="00D726D4">
        <w:rPr>
          <w:rtl/>
        </w:rPr>
        <w:t>חקר המוגבלות כתופעה</w:t>
      </w:r>
      <w:r w:rsidRPr="00D726D4">
        <w:rPr>
          <w:rFonts w:hint="cs"/>
          <w:rtl/>
        </w:rPr>
        <w:t xml:space="preserve"> אישית וחברתית, שיש לה השלכות שונות בתחומי חיים מגוונים: תעסוקה, משפחה, פנאי, דיור ומרחב ציבורי. </w:t>
      </w:r>
      <w:r w:rsidRPr="00D726D4">
        <w:rPr>
          <w:rtl/>
        </w:rPr>
        <w:t>מחקרים רבים</w:t>
      </w:r>
      <w:r w:rsidRPr="00D726D4">
        <w:rPr>
          <w:rFonts w:hint="cs"/>
          <w:rtl/>
        </w:rPr>
        <w:t xml:space="preserve"> </w:t>
      </w:r>
      <w:r w:rsidRPr="00D726D4">
        <w:rPr>
          <w:rtl/>
        </w:rPr>
        <w:t xml:space="preserve">מצביעים על כך שמוגבלות היא תופעה רב-ממדית המשתנה במהלך </w:t>
      </w:r>
      <w:r w:rsidRPr="00D726D4">
        <w:rPr>
          <w:rFonts w:hint="cs"/>
          <w:rtl/>
        </w:rPr>
        <w:t>ה</w:t>
      </w:r>
      <w:r w:rsidRPr="00D726D4">
        <w:rPr>
          <w:rtl/>
        </w:rPr>
        <w:t>חיי</w:t>
      </w:r>
      <w:r w:rsidRPr="00D726D4">
        <w:rPr>
          <w:rFonts w:hint="cs"/>
          <w:rtl/>
        </w:rPr>
        <w:t>ם</w:t>
      </w:r>
      <w:r w:rsidRPr="00D726D4">
        <w:rPr>
          <w:rtl/>
        </w:rPr>
        <w:t xml:space="preserve">, ועל כך שמדידה של מוגבלות מחייבת </w:t>
      </w:r>
      <w:r w:rsidRPr="00D726D4">
        <w:rPr>
          <w:rFonts w:hint="cs"/>
          <w:rtl/>
        </w:rPr>
        <w:t>גם</w:t>
      </w:r>
      <w:r w:rsidRPr="00D726D4">
        <w:rPr>
          <w:rtl/>
        </w:rPr>
        <w:t xml:space="preserve"> הערכה עצמית של בעלי המוגבלות באשר למצבם</w:t>
      </w:r>
      <w:r w:rsidRPr="00D726D4">
        <w:rPr>
          <w:rFonts w:hint="cs"/>
          <w:rtl/>
        </w:rPr>
        <w:t xml:space="preserve"> (</w:t>
      </w:r>
      <w:r w:rsidRPr="00D726D4">
        <w:t>Garland-Thomson, 2002; Morris, 1991; Oliver, 1990; Wendell, 1996</w:t>
      </w:r>
      <w:r w:rsidRPr="00D726D4">
        <w:rPr>
          <w:rFonts w:hint="cs"/>
          <w:rtl/>
        </w:rPr>
        <w:t>)</w:t>
      </w:r>
      <w:r w:rsidRPr="00D726D4">
        <w:rPr>
          <w:rtl/>
        </w:rPr>
        <w:t xml:space="preserve">. השימוש בהגדרה עצמית </w:t>
      </w:r>
      <w:r w:rsidRPr="00D726D4">
        <w:rPr>
          <w:rFonts w:hint="cs"/>
          <w:rtl/>
        </w:rPr>
        <w:t>מ</w:t>
      </w:r>
      <w:r w:rsidRPr="00D726D4">
        <w:rPr>
          <w:rtl/>
        </w:rPr>
        <w:t xml:space="preserve">אפשר </w:t>
      </w:r>
      <w:r w:rsidRPr="00D726D4">
        <w:rPr>
          <w:rFonts w:hint="cs"/>
          <w:rtl/>
        </w:rPr>
        <w:t>לזהות</w:t>
      </w:r>
      <w:r w:rsidRPr="00D726D4">
        <w:rPr>
          <w:rtl/>
        </w:rPr>
        <w:t xml:space="preserve"> טוב יותר </w:t>
      </w:r>
      <w:r w:rsidRPr="00D726D4">
        <w:rPr>
          <w:rFonts w:hint="cs"/>
          <w:rtl/>
        </w:rPr>
        <w:t>את</w:t>
      </w:r>
      <w:r w:rsidRPr="00D726D4">
        <w:rPr>
          <w:rtl/>
        </w:rPr>
        <w:t xml:space="preserve"> האנשים המתקשים בתפקוד היו</w:t>
      </w:r>
      <w:r w:rsidRPr="00D726D4">
        <w:rPr>
          <w:rFonts w:hint="cs"/>
          <w:rtl/>
        </w:rPr>
        <w:t>ם-</w:t>
      </w:r>
      <w:r w:rsidRPr="00D726D4">
        <w:rPr>
          <w:rtl/>
        </w:rPr>
        <w:t>יומי בגין לקות מתמשכת כלשהי, שרובם אינם זקוקים לסיוע כספי ישיר מהמדינה או להתאמה סביבתית שתאפשר להם להשתלב בקהילה ובחברה</w:t>
      </w:r>
      <w:r w:rsidRPr="00D726D4">
        <w:rPr>
          <w:rFonts w:hint="cs"/>
          <w:rtl/>
        </w:rPr>
        <w:t>.</w:t>
      </w:r>
    </w:p>
    <w:p w:rsidR="00DB3FAE" w:rsidRPr="00D726D4" w:rsidRDefault="00DB3FAE" w:rsidP="00C13950">
      <w:pPr>
        <w:rPr>
          <w:rtl/>
        </w:rPr>
      </w:pPr>
      <w:r w:rsidRPr="00D726D4">
        <w:rPr>
          <w:rFonts w:hint="cs"/>
          <w:rtl/>
        </w:rPr>
        <w:t xml:space="preserve">במחקר זה אבקש להתמקד בהערכתן ובהגדרתן העצמית של נשים עם עיוורון ולקות ראייה את מצבן בעולם העבודה בישראל. אתייחס לאופן שבו תפיסות תרבותיות של עבודה, של מוגבלות ושל תפקיד האישה עם המוגבלות בתוך מערכת העבודה השפיעו על עיצוב תוכניות </w:t>
      </w:r>
      <w:r w:rsidR="00D726D4">
        <w:rPr>
          <w:rFonts w:hint="cs"/>
          <w:rtl/>
        </w:rPr>
        <w:t xml:space="preserve">טרום </w:t>
      </w:r>
      <w:r w:rsidRPr="00D726D4">
        <w:rPr>
          <w:rFonts w:hint="cs"/>
          <w:rtl/>
        </w:rPr>
        <w:t xml:space="preserve">תעסוקתיות </w:t>
      </w:r>
      <w:r w:rsidR="00D726D4">
        <w:rPr>
          <w:rFonts w:hint="cs"/>
          <w:rtl/>
        </w:rPr>
        <w:t>המזינות ומעצבות את עולם התעסוקה, כמו גם עיצוב התכניות התעסוקתיות עצמן ל</w:t>
      </w:r>
      <w:r w:rsidRPr="00D726D4">
        <w:rPr>
          <w:rFonts w:hint="cs"/>
          <w:rtl/>
        </w:rPr>
        <w:t xml:space="preserve">שילוב נשים אלו בעולם העבודה בישראל. דרך התמקדותי בנשים עם לקויות הראייה </w:t>
      </w:r>
      <w:r w:rsidRPr="00D726D4">
        <w:rPr>
          <w:rFonts w:eastAsia="Times New Roman" w:hint="cs"/>
          <w:rtl/>
        </w:rPr>
        <w:t xml:space="preserve">אבקש לדון בהשפעתן של תפיסות פמיניסטיות </w:t>
      </w:r>
      <w:r w:rsidR="00C13950">
        <w:rPr>
          <w:rFonts w:eastAsia="Times New Roman" w:hint="cs"/>
          <w:rtl/>
        </w:rPr>
        <w:t xml:space="preserve">על עיצוב תפיסת המוגבלות, </w:t>
      </w:r>
      <w:r w:rsidRPr="00D726D4">
        <w:rPr>
          <w:rFonts w:eastAsia="Times New Roman" w:hint="cs"/>
          <w:rtl/>
        </w:rPr>
        <w:t xml:space="preserve">תוך התייחסות לגורמי השפעה כלכליים, ארגוניים, פוליטיים ותרבותיים וליחסי הגומלין ביניהם. </w:t>
      </w:r>
      <w:r w:rsidRPr="00D726D4">
        <w:rPr>
          <w:rFonts w:hint="cs"/>
          <w:rtl/>
        </w:rPr>
        <w:t xml:space="preserve">במקביל לדיון </w:t>
      </w:r>
      <w:r w:rsidRPr="00D726D4">
        <w:rPr>
          <w:rFonts w:eastAsia="Times New Roman" w:hint="cs"/>
          <w:rtl/>
        </w:rPr>
        <w:t xml:space="preserve">על </w:t>
      </w:r>
      <w:r w:rsidRPr="00D726D4">
        <w:rPr>
          <w:rFonts w:hint="cs"/>
          <w:rtl/>
        </w:rPr>
        <w:t xml:space="preserve">אודות </w:t>
      </w:r>
      <w:r w:rsidR="00C13950">
        <w:rPr>
          <w:rFonts w:hint="cs"/>
          <w:rtl/>
        </w:rPr>
        <w:t>גורמי ההשפעה</w:t>
      </w:r>
      <w:r w:rsidRPr="00D726D4">
        <w:rPr>
          <w:rFonts w:hint="cs"/>
          <w:rtl/>
        </w:rPr>
        <w:t xml:space="preserve"> והתוכניות התעסוקתיות, </w:t>
      </w:r>
      <w:r w:rsidRPr="00D726D4">
        <w:rPr>
          <w:rFonts w:eastAsia="Times New Roman" w:hint="cs"/>
          <w:rtl/>
        </w:rPr>
        <w:t>אדון</w:t>
      </w:r>
      <w:r w:rsidRPr="00D726D4">
        <w:rPr>
          <w:rFonts w:hint="cs"/>
          <w:rtl/>
        </w:rPr>
        <w:t xml:space="preserve"> גם בחוויותיהן של הנשים העיוורות ולקויות הראייה עצמן ואשאל כיצד להערכתן תופסים מעצבי המדיניות בישראל ומיישמיה את מקומה של האישה עם המוגבלות בעולם העבודה, וכיצד משפיעות תפיסות אלו על המדיניות שיוצאת תחת ידיהם. </w:t>
      </w:r>
      <w:r w:rsidRPr="00D726D4">
        <w:rPr>
          <w:rFonts w:eastAsia="Times New Roman" w:hint="cs"/>
          <w:rtl/>
        </w:rPr>
        <w:t>במחקר</w:t>
      </w:r>
      <w:r w:rsidRPr="00D726D4">
        <w:rPr>
          <w:rFonts w:hint="cs"/>
          <w:rtl/>
        </w:rPr>
        <w:t xml:space="preserve"> אבקש </w:t>
      </w:r>
      <w:r w:rsidRPr="00D726D4">
        <w:rPr>
          <w:rFonts w:eastAsia="Times New Roman" w:hint="cs"/>
          <w:rtl/>
        </w:rPr>
        <w:t>להתבסס על שני</w:t>
      </w:r>
      <w:r w:rsidRPr="00D726D4">
        <w:rPr>
          <w:rFonts w:hint="cs"/>
          <w:rtl/>
        </w:rPr>
        <w:t xml:space="preserve"> גופי ידע נפרדים המשיקים רק </w:t>
      </w:r>
      <w:r w:rsidRPr="00D726D4">
        <w:rPr>
          <w:rFonts w:eastAsia="Times New Roman" w:hint="cs"/>
          <w:rtl/>
        </w:rPr>
        <w:t>לעתים רחוקות</w:t>
      </w:r>
      <w:r w:rsidRPr="00D726D4">
        <w:rPr>
          <w:rFonts w:hint="cs"/>
          <w:rtl/>
        </w:rPr>
        <w:t>: מחד גיסא המחקר הביקורתי של הנשים והנשיות (</w:t>
      </w:r>
      <w:r w:rsidRPr="00D726D4">
        <w:rPr>
          <w:rFonts w:eastAsia="Times New Roman"/>
        </w:rPr>
        <w:t>Women &amp; Feminist Critical Studies</w:t>
      </w:r>
      <w:r w:rsidRPr="00D726D4">
        <w:rPr>
          <w:rFonts w:hint="cs"/>
          <w:rtl/>
        </w:rPr>
        <w:t xml:space="preserve">), </w:t>
      </w:r>
      <w:r w:rsidRPr="00D726D4">
        <w:rPr>
          <w:rFonts w:eastAsia="Times New Roman" w:hint="cs"/>
          <w:rtl/>
        </w:rPr>
        <w:t>ותובנותיו באשר לאופייה ההיסטורי והשיחני (</w:t>
      </w:r>
      <w:r w:rsidRPr="00D726D4">
        <w:rPr>
          <w:rFonts w:eastAsia="Times New Roman"/>
        </w:rPr>
        <w:t>Discursive</w:t>
      </w:r>
      <w:r w:rsidRPr="00D726D4">
        <w:rPr>
          <w:rFonts w:eastAsia="Times New Roman" w:hint="cs"/>
          <w:rtl/>
        </w:rPr>
        <w:t xml:space="preserve">) של קטגוריית הנשיות ומיקומה במארג יחסי הכוח החברתיים; </w:t>
      </w:r>
      <w:r w:rsidRPr="00D726D4">
        <w:rPr>
          <w:rFonts w:eastAsia="Times New Roman" w:hint="cs"/>
          <w:rtl/>
        </w:rPr>
        <w:lastRenderedPageBreak/>
        <w:t>ומאידך גיסא חקר המוגבלות (</w:t>
      </w:r>
      <w:r w:rsidRPr="00D726D4">
        <w:rPr>
          <w:rFonts w:eastAsia="Times New Roman"/>
        </w:rPr>
        <w:t>Disability Studies</w:t>
      </w:r>
      <w:r w:rsidRPr="00D726D4">
        <w:rPr>
          <w:rFonts w:eastAsia="Times New Roman" w:hint="cs"/>
          <w:rtl/>
        </w:rPr>
        <w:t xml:space="preserve">), ובפרט המחקר הממוגדר של המוגבלות. </w:t>
      </w:r>
      <w:r w:rsidRPr="00D726D4">
        <w:rPr>
          <w:rFonts w:hint="cs"/>
          <w:rtl/>
        </w:rPr>
        <w:t>חיבור זה רלוונטי ונחוץ בהמשך לטענות של אש וגלר (</w:t>
      </w:r>
      <w:r w:rsidRPr="00D726D4">
        <w:t>Asch &amp; Geller, 1996</w:t>
      </w:r>
      <w:r w:rsidRPr="00D726D4">
        <w:rPr>
          <w:rFonts w:hint="cs"/>
          <w:rtl/>
        </w:rPr>
        <w:t xml:space="preserve">), לפיהן </w:t>
      </w:r>
      <w:r w:rsidRPr="00D726D4">
        <w:rPr>
          <w:rtl/>
        </w:rPr>
        <w:t xml:space="preserve">הסוגיות </w:t>
      </w:r>
      <w:r w:rsidRPr="00D726D4">
        <w:rPr>
          <w:rFonts w:hint="cs"/>
          <w:rtl/>
        </w:rPr>
        <w:t>הנדונות</w:t>
      </w:r>
      <w:r w:rsidRPr="00D726D4">
        <w:rPr>
          <w:rtl/>
        </w:rPr>
        <w:t xml:space="preserve"> בלימודי מוגבלות </w:t>
      </w:r>
      <w:r w:rsidRPr="00D726D4">
        <w:rPr>
          <w:rFonts w:hint="cs"/>
          <w:rtl/>
        </w:rPr>
        <w:t>דומות</w:t>
      </w:r>
      <w:r w:rsidRPr="00D726D4">
        <w:rPr>
          <w:rtl/>
        </w:rPr>
        <w:t xml:space="preserve"> </w:t>
      </w:r>
      <w:r w:rsidRPr="00D726D4">
        <w:rPr>
          <w:rFonts w:hint="cs"/>
          <w:rtl/>
        </w:rPr>
        <w:t>ל</w:t>
      </w:r>
      <w:r w:rsidRPr="00D726D4">
        <w:rPr>
          <w:rtl/>
        </w:rPr>
        <w:t xml:space="preserve">סוגיות </w:t>
      </w:r>
      <w:r w:rsidRPr="00D726D4">
        <w:rPr>
          <w:rFonts w:hint="cs"/>
          <w:rtl/>
        </w:rPr>
        <w:t>שהתיאורי</w:t>
      </w:r>
      <w:r w:rsidRPr="00D726D4">
        <w:rPr>
          <w:rFonts w:hint="eastAsia"/>
          <w:rtl/>
        </w:rPr>
        <w:t>ה</w:t>
      </w:r>
      <w:r w:rsidRPr="00D726D4">
        <w:rPr>
          <w:rtl/>
        </w:rPr>
        <w:t xml:space="preserve"> הפמיניסטית מתמודדת איתן כבר שנים רבות. </w:t>
      </w:r>
    </w:p>
    <w:p w:rsidR="00DB3FAE" w:rsidRPr="00D726D4" w:rsidRDefault="00DB3FAE" w:rsidP="00DB3FAE">
      <w:pPr>
        <w:rPr>
          <w:rFonts w:eastAsia="Times New Roman"/>
          <w:rtl/>
        </w:rPr>
      </w:pPr>
      <w:r w:rsidRPr="00D726D4">
        <w:rPr>
          <w:rFonts w:hint="cs"/>
          <w:rtl/>
        </w:rPr>
        <w:t>תרומת המחקר היא קודם כול בחיבור שני גופי הידע הנדונים: התאוריו</w:t>
      </w:r>
      <w:r w:rsidRPr="00D726D4">
        <w:rPr>
          <w:rFonts w:hint="eastAsia"/>
          <w:rtl/>
        </w:rPr>
        <w:t>ת</w:t>
      </w:r>
      <w:r w:rsidRPr="00D726D4">
        <w:rPr>
          <w:rFonts w:hint="cs"/>
          <w:rtl/>
        </w:rPr>
        <w:t xml:space="preserve"> הפמיניסטיות </w:t>
      </w:r>
      <w:r w:rsidRPr="00D726D4">
        <w:rPr>
          <w:rtl/>
        </w:rPr>
        <w:t>יכול</w:t>
      </w:r>
      <w:r w:rsidRPr="00D726D4">
        <w:rPr>
          <w:rFonts w:hint="cs"/>
          <w:rtl/>
        </w:rPr>
        <w:t>ות</w:t>
      </w:r>
      <w:r w:rsidRPr="00D726D4">
        <w:rPr>
          <w:rtl/>
        </w:rPr>
        <w:t xml:space="preserve"> לספק תובנות עמוקות, שיטות מחקר ונקודות מבט שיעשירו את לימודי המוגבלות</w:t>
      </w:r>
      <w:r w:rsidRPr="00D726D4">
        <w:rPr>
          <w:rFonts w:hint="cs"/>
          <w:rtl/>
        </w:rPr>
        <w:t>, ולימודי המוגבלות מצידם יתרמו לתאוריו</w:t>
      </w:r>
      <w:r w:rsidRPr="00D726D4">
        <w:rPr>
          <w:rFonts w:hint="eastAsia"/>
          <w:rtl/>
        </w:rPr>
        <w:t>ת</w:t>
      </w:r>
      <w:r w:rsidRPr="00D726D4">
        <w:rPr>
          <w:rtl/>
        </w:rPr>
        <w:t xml:space="preserve"> </w:t>
      </w:r>
      <w:r w:rsidRPr="00D726D4">
        <w:rPr>
          <w:rFonts w:hint="cs"/>
          <w:rtl/>
        </w:rPr>
        <w:t>ה</w:t>
      </w:r>
      <w:r w:rsidRPr="00D726D4">
        <w:rPr>
          <w:rtl/>
        </w:rPr>
        <w:t xml:space="preserve">פמיניסטיות </w:t>
      </w:r>
      <w:r w:rsidRPr="00D726D4">
        <w:rPr>
          <w:rFonts w:hint="cs"/>
          <w:rtl/>
        </w:rPr>
        <w:t xml:space="preserve">שלרוב לא מבחינות בהם במערך </w:t>
      </w:r>
      <w:r w:rsidRPr="00D726D4">
        <w:rPr>
          <w:rtl/>
        </w:rPr>
        <w:t>הזהויות הרבות המשפיעות על הקטגוריה "אישה"</w:t>
      </w:r>
      <w:r w:rsidRPr="00D726D4">
        <w:rPr>
          <w:rFonts w:hint="cs"/>
          <w:rtl/>
        </w:rPr>
        <w:t>. עם זאת, החיבור בין</w:t>
      </w:r>
      <w:r w:rsidRPr="00D726D4">
        <w:rPr>
          <w:rtl/>
        </w:rPr>
        <w:t xml:space="preserve"> </w:t>
      </w:r>
      <w:r w:rsidRPr="00D726D4">
        <w:rPr>
          <w:rFonts w:hint="cs"/>
          <w:rtl/>
        </w:rPr>
        <w:t>התיאוריו</w:t>
      </w:r>
      <w:r w:rsidRPr="00D726D4">
        <w:rPr>
          <w:rFonts w:hint="eastAsia"/>
          <w:rtl/>
        </w:rPr>
        <w:t>ת</w:t>
      </w:r>
      <w:r w:rsidRPr="00D726D4">
        <w:rPr>
          <w:rtl/>
        </w:rPr>
        <w:t xml:space="preserve"> הפמיניסטי</w:t>
      </w:r>
      <w:r w:rsidRPr="00D726D4">
        <w:rPr>
          <w:rFonts w:hint="cs"/>
          <w:rtl/>
        </w:rPr>
        <w:t>ו</w:t>
      </w:r>
      <w:r w:rsidRPr="00D726D4">
        <w:rPr>
          <w:rtl/>
        </w:rPr>
        <w:t xml:space="preserve">ת </w:t>
      </w:r>
      <w:r w:rsidRPr="00D726D4">
        <w:rPr>
          <w:rFonts w:hint="cs"/>
          <w:rtl/>
        </w:rPr>
        <w:t>לבין התיאוריו</w:t>
      </w:r>
      <w:r w:rsidRPr="00D726D4">
        <w:rPr>
          <w:rFonts w:hint="eastAsia"/>
          <w:rtl/>
        </w:rPr>
        <w:t>ת</w:t>
      </w:r>
      <w:r w:rsidRPr="00D726D4">
        <w:rPr>
          <w:rFonts w:hint="cs"/>
          <w:rtl/>
        </w:rPr>
        <w:t xml:space="preserve"> של המוגבלות עלול לעורר גם ביקורת עקב</w:t>
      </w:r>
      <w:r w:rsidRPr="00D726D4">
        <w:rPr>
          <w:rtl/>
        </w:rPr>
        <w:t xml:space="preserve"> </w:t>
      </w:r>
      <w:r w:rsidRPr="00D726D4">
        <w:rPr>
          <w:rFonts w:hint="cs"/>
          <w:rtl/>
        </w:rPr>
        <w:t xml:space="preserve">הבנה </w:t>
      </w:r>
      <w:r w:rsidRPr="00D726D4">
        <w:rPr>
          <w:rtl/>
        </w:rPr>
        <w:t xml:space="preserve">רחבה של </w:t>
      </w:r>
      <w:r w:rsidRPr="00D726D4">
        <w:rPr>
          <w:rFonts w:hint="cs"/>
          <w:rtl/>
        </w:rPr>
        <w:t>ה</w:t>
      </w:r>
      <w:r w:rsidRPr="00D726D4">
        <w:rPr>
          <w:rtl/>
        </w:rPr>
        <w:t>מוגבלות כמערכת תרבותית נרחבת המייצרת סטיגמות לסוגים שונים של מגוון גופני. בד בבד, יש למערכת זו פוטנציאל לעורר פוליטיקה ביקורתית.</w:t>
      </w:r>
    </w:p>
    <w:p w:rsidR="00DB3FAE" w:rsidRPr="00D726D4" w:rsidRDefault="00DB3FAE" w:rsidP="00DB3FAE">
      <w:pPr>
        <w:rPr>
          <w:rFonts w:eastAsia="Times New Roman"/>
          <w:rtl/>
        </w:rPr>
      </w:pPr>
    </w:p>
    <w:p w:rsidR="00DB3FAE" w:rsidRPr="00D726D4" w:rsidRDefault="00DB3FAE" w:rsidP="00DB3FAE">
      <w:pPr>
        <w:rPr>
          <w:rFonts w:eastAsia="Times New Roman"/>
          <w:rtl/>
        </w:rPr>
      </w:pPr>
    </w:p>
    <w:p w:rsidR="00DB3FAE" w:rsidRPr="00D726D4" w:rsidRDefault="00DB3FAE" w:rsidP="00DB3FAE">
      <w:pPr>
        <w:rPr>
          <w:rFonts w:eastAsia="Times New Roman"/>
          <w:rtl/>
        </w:rPr>
      </w:pPr>
    </w:p>
    <w:p w:rsidR="00DB3FAE" w:rsidRPr="00D726D4" w:rsidRDefault="00DB3FAE" w:rsidP="00DB3FAE">
      <w:pPr>
        <w:rPr>
          <w:rFonts w:eastAsia="Times New Roman"/>
          <w:rtl/>
        </w:rPr>
      </w:pPr>
    </w:p>
    <w:p w:rsidR="00DB3FAE" w:rsidRPr="00D726D4" w:rsidRDefault="00DB3FAE" w:rsidP="00DB3FAE">
      <w:pPr>
        <w:rPr>
          <w:rFonts w:eastAsia="Times New Roman"/>
          <w:rtl/>
        </w:rPr>
      </w:pPr>
    </w:p>
    <w:p w:rsidR="00DB3FAE" w:rsidRPr="00D726D4" w:rsidRDefault="00DB3FAE" w:rsidP="00DB3FAE">
      <w:pPr>
        <w:rPr>
          <w:rFonts w:eastAsia="Times New Roman"/>
          <w:rtl/>
        </w:rPr>
      </w:pPr>
    </w:p>
    <w:p w:rsidR="00DB3FAE" w:rsidRPr="00D726D4" w:rsidRDefault="00DB3FAE" w:rsidP="00DB3FAE">
      <w:pPr>
        <w:rPr>
          <w:rFonts w:eastAsia="Times New Roman"/>
          <w:rtl/>
        </w:rPr>
      </w:pPr>
    </w:p>
    <w:p w:rsidR="00DB3FAE" w:rsidRPr="00D726D4" w:rsidRDefault="00DB3FAE" w:rsidP="0067491F"/>
    <w:sectPr w:rsidR="00DB3FAE" w:rsidRPr="00D726D4" w:rsidSect="003C0774">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Arial"/>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F3066"/>
    <w:multiLevelType w:val="multilevel"/>
    <w:tmpl w:val="1EF01CC4"/>
    <w:lvl w:ilvl="0">
      <w:start w:val="1"/>
      <w:numFmt w:val="decimal"/>
      <w:pStyle w:val="1"/>
      <w:suff w:val="space"/>
      <w:lvlText w:val="פרק %1:"/>
      <w:lvlJc w:val="left"/>
      <w:pPr>
        <w:ind w:left="0" w:firstLine="0"/>
      </w:pPr>
      <w:rPr>
        <w:rFonts w:ascii="David" w:hAnsi="David" w:cs="David" w:hint="default"/>
        <w:b/>
        <w:i w:val="0"/>
        <w:color w:val="auto"/>
        <w:sz w:val="48"/>
      </w:rPr>
    </w:lvl>
    <w:lvl w:ilvl="1">
      <w:start w:val="1"/>
      <w:numFmt w:val="decimal"/>
      <w:pStyle w:val="2"/>
      <w:suff w:val="space"/>
      <w:lvlText w:val="%1.%2."/>
      <w:lvlJc w:val="left"/>
      <w:pPr>
        <w:ind w:left="0" w:firstLine="0"/>
      </w:pPr>
      <w:rPr>
        <w:rFonts w:hint="default"/>
        <w:b/>
        <w:bCs/>
        <w:color w:val="auto"/>
        <w:sz w:val="28"/>
        <w:szCs w:val="28"/>
      </w:rPr>
    </w:lvl>
    <w:lvl w:ilvl="2">
      <w:start w:val="1"/>
      <w:numFmt w:val="decimal"/>
      <w:pStyle w:val="3"/>
      <w:suff w:val="space"/>
      <w:lvlText w:val="%1.%2.%3."/>
      <w:lvlJc w:val="left"/>
      <w:pPr>
        <w:ind w:left="0" w:firstLine="0"/>
      </w:pPr>
      <w:rPr>
        <w:rFonts w:ascii="David" w:hAnsi="David" w:cs="David" w:hint="default"/>
        <w:b/>
        <w:bCs/>
        <w:sz w:val="24"/>
        <w:szCs w:val="24"/>
      </w:rPr>
    </w:lvl>
    <w:lvl w:ilvl="3">
      <w:start w:val="1"/>
      <w:numFmt w:val="decimal"/>
      <w:suff w:val="space"/>
      <w:lvlText w:val="%1.%2.%3.%4."/>
      <w:lvlJc w:val="left"/>
      <w:pPr>
        <w:ind w:left="0" w:firstLine="0"/>
      </w:pPr>
      <w:rPr>
        <w:rFonts w:hint="default"/>
        <w:b w:val="0"/>
        <w:bCs/>
        <w:i w:val="0"/>
        <w:iCs/>
        <w:caps w:val="0"/>
        <w:smallCaps w:val="0"/>
        <w:strike w:val="0"/>
        <w:dstrike w:val="0"/>
        <w:noProof w:val="0"/>
        <w:vanish w:val="0"/>
        <w:color w:val="000000"/>
        <w:spacing w:val="0"/>
        <w:kern w:val="0"/>
        <w:position w:val="0"/>
        <w:sz w:val="24"/>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1F"/>
    <w:rsid w:val="00051547"/>
    <w:rsid w:val="000B732C"/>
    <w:rsid w:val="001C4D3C"/>
    <w:rsid w:val="002C76A1"/>
    <w:rsid w:val="003C0774"/>
    <w:rsid w:val="00620125"/>
    <w:rsid w:val="0067491F"/>
    <w:rsid w:val="00676C48"/>
    <w:rsid w:val="00694F12"/>
    <w:rsid w:val="00A83F87"/>
    <w:rsid w:val="00C13950"/>
    <w:rsid w:val="00C26A40"/>
    <w:rsid w:val="00D10EFA"/>
    <w:rsid w:val="00D726D4"/>
    <w:rsid w:val="00DB3FAE"/>
    <w:rsid w:val="00F04957"/>
    <w:rsid w:val="00F11C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4EBCE-66F1-4244-B134-94E5AD40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91F"/>
    <w:pPr>
      <w:bidi/>
      <w:spacing w:after="0" w:line="360" w:lineRule="auto"/>
      <w:ind w:firstLine="720"/>
      <w:jc w:val="both"/>
    </w:pPr>
    <w:rPr>
      <w:rFonts w:ascii="David" w:eastAsia="David" w:hAnsi="David" w:cs="David"/>
      <w:sz w:val="24"/>
      <w:szCs w:val="24"/>
    </w:rPr>
  </w:style>
  <w:style w:type="paragraph" w:styleId="1">
    <w:name w:val="heading 1"/>
    <w:basedOn w:val="a"/>
    <w:next w:val="a"/>
    <w:link w:val="10"/>
    <w:uiPriority w:val="9"/>
    <w:qFormat/>
    <w:rsid w:val="0067491F"/>
    <w:pPr>
      <w:keepNext/>
      <w:keepLines/>
      <w:pageBreakBefore/>
      <w:numPr>
        <w:numId w:val="1"/>
      </w:numPr>
      <w:jc w:val="center"/>
      <w:outlineLvl w:val="0"/>
    </w:pPr>
    <w:rPr>
      <w:rFonts w:asciiTheme="majorHAnsi" w:eastAsiaTheme="majorEastAsia" w:hAnsiTheme="majorHAnsi"/>
      <w:bCs/>
      <w:sz w:val="32"/>
      <w:szCs w:val="32"/>
    </w:rPr>
  </w:style>
  <w:style w:type="paragraph" w:styleId="2">
    <w:name w:val="heading 2"/>
    <w:basedOn w:val="a"/>
    <w:link w:val="20"/>
    <w:uiPriority w:val="9"/>
    <w:qFormat/>
    <w:rsid w:val="0067491F"/>
    <w:pPr>
      <w:keepNext/>
      <w:numPr>
        <w:ilvl w:val="1"/>
        <w:numId w:val="1"/>
      </w:numPr>
      <w:bidi w:val="0"/>
      <w:spacing w:before="240"/>
      <w:outlineLvl w:val="1"/>
    </w:pPr>
    <w:rPr>
      <w:rFonts w:eastAsia="Times New Roman"/>
      <w:b/>
      <w:bCs/>
      <w:sz w:val="36"/>
      <w:szCs w:val="28"/>
    </w:rPr>
  </w:style>
  <w:style w:type="paragraph" w:styleId="3">
    <w:name w:val="heading 3"/>
    <w:basedOn w:val="a"/>
    <w:link w:val="30"/>
    <w:uiPriority w:val="9"/>
    <w:qFormat/>
    <w:rsid w:val="0067491F"/>
    <w:pPr>
      <w:keepNext/>
      <w:numPr>
        <w:ilvl w:val="2"/>
        <w:numId w:val="1"/>
      </w:numPr>
      <w:bidi w:val="0"/>
      <w:spacing w:before="120"/>
      <w:outlineLvl w:val="2"/>
    </w:pPr>
    <w:rPr>
      <w:rFonts w:eastAsia="Times New Roman"/>
      <w:b/>
      <w:bCs/>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67491F"/>
    <w:rPr>
      <w:rFonts w:asciiTheme="majorHAnsi" w:eastAsiaTheme="majorEastAsia" w:hAnsiTheme="majorHAnsi" w:cs="David"/>
      <w:bCs/>
      <w:sz w:val="32"/>
      <w:szCs w:val="32"/>
    </w:rPr>
  </w:style>
  <w:style w:type="character" w:customStyle="1" w:styleId="20">
    <w:name w:val="כותרת 2 תו"/>
    <w:basedOn w:val="a0"/>
    <w:link w:val="2"/>
    <w:uiPriority w:val="9"/>
    <w:rsid w:val="0067491F"/>
    <w:rPr>
      <w:rFonts w:ascii="David" w:eastAsia="Times New Roman" w:hAnsi="David" w:cs="David"/>
      <w:b/>
      <w:bCs/>
      <w:sz w:val="36"/>
      <w:szCs w:val="28"/>
    </w:rPr>
  </w:style>
  <w:style w:type="character" w:customStyle="1" w:styleId="30">
    <w:name w:val="כותרת 3 תו"/>
    <w:basedOn w:val="a0"/>
    <w:link w:val="3"/>
    <w:uiPriority w:val="9"/>
    <w:rsid w:val="0067491F"/>
    <w:rPr>
      <w:rFonts w:ascii="David" w:eastAsia="Times New Roman" w:hAnsi="David" w:cs="David"/>
      <w:b/>
      <w:bCs/>
      <w:sz w:val="2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3524</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dc:creator>
  <cp:lastModifiedBy>Edna Dar</cp:lastModifiedBy>
  <cp:revision>2</cp:revision>
  <dcterms:created xsi:type="dcterms:W3CDTF">2021-03-09T06:59:00Z</dcterms:created>
  <dcterms:modified xsi:type="dcterms:W3CDTF">2021-03-09T06:59:00Z</dcterms:modified>
</cp:coreProperties>
</file>